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C3A" w:rsidRDefault="00C66C3A" w:rsidP="00C66C3A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作业场所职业病危害日常监测评价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监测制度是否健全：监测工作有专人负责，委托监测的机构应取得相应资质，稳定的监测资金来源。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有符合技术要求的监测方案：包含监测选点、指标、方法、频度等。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是否对监测结果进行综合分析：对工作场所职业病危害因素的种类、危害程度</w:t>
      </w:r>
      <w:r>
        <w:rPr>
          <w:rFonts w:hint="eastAsia"/>
        </w:rPr>
        <w:t>(</w:t>
      </w:r>
      <w:r>
        <w:rPr>
          <w:rFonts w:hint="eastAsia"/>
        </w:rPr>
        <w:t>浓度或者强度）、防护措施及其效果进行评价，确定危害类别和程度，为用人单位决策层实施工作场所分类管理、职业病危害治理，职业病诊断鉴定和职业卫生监管部门执法提供依据。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是否定期向所在地职业卫生监管部门报告监测结果，并在作业场所向劳动者公布。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监测结果按技术要求存档。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bookmarkStart w:id="0" w:name="_GoBack"/>
      <w:bookmarkEnd w:id="0"/>
      <w:r>
        <w:rPr>
          <w:rFonts w:hint="eastAsia"/>
        </w:rPr>
        <w:t>职业健康监护评价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职业健康监护制度是否健全：职业健康监护工作是否有专人负责，委托职业健康监护的机构应取得相应资质，稳定的职业健康监护资金来源，职业健康监护包含上岗前、定期体检、离岗检查和应急检查。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有符合技术要求的职业健康监护方案：按所接触的职业危害因素确定职业健康监护对象、周期、项目等。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职业健康监护结果综合分析：找出损害劳动者健康的主要职业危害因素、确定职业病防治的新的重点人群、采取新的预防策略。</w:t>
      </w:r>
    </w:p>
    <w:p w:rsidR="00C66C3A" w:rsidRDefault="00C66C3A" w:rsidP="00C66C3A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评价职业健康监护结果处理和报告：发现疑似职业病人要安排进行进一步诊断；发现职业病人应及时治疗，并给予相应待遇，妥善安置；发现职业禁忌证应及时调离。</w:t>
      </w:r>
    </w:p>
    <w:p w:rsidR="00937B7C" w:rsidRDefault="00C66C3A" w:rsidP="00C66C3A">
      <w:pPr>
        <w:spacing w:beforeLines="50" w:before="156" w:afterLines="50" w:after="156"/>
        <w:ind w:firstLineChars="200" w:firstLine="420"/>
      </w:pPr>
      <w:r>
        <w:rPr>
          <w:rFonts w:hint="eastAsia"/>
        </w:rPr>
        <w:t>5.</w:t>
      </w:r>
      <w:r>
        <w:rPr>
          <w:rFonts w:hint="eastAsia"/>
        </w:rPr>
        <w:t>职业健康监护结果按技术要求建档、存档。</w:t>
      </w:r>
    </w:p>
    <w:sectPr w:rsidR="00937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C3A"/>
    <w:rsid w:val="00937B7C"/>
    <w:rsid w:val="00C6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2019-10-14T05:50:00Z</dcterms:created>
  <dcterms:modified xsi:type="dcterms:W3CDTF">2019-10-14T05:54:00Z</dcterms:modified>
</cp:coreProperties>
</file>